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gender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(i.e.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c) a safeguarding incident in the nursery, e.g.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>ote method of communication i.e.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r w:rsidRPr="004F24D6">
              <w:rPr>
                <w:rFonts w:cs="Arial"/>
                <w:color w:val="000000"/>
                <w:szCs w:val="22"/>
              </w:rPr>
              <w:t xml:space="preserve">i.e.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insurance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(e.g.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3593" w14:textId="77777777" w:rsidR="007B353B" w:rsidRDefault="007B353B" w:rsidP="004D5F2F">
      <w:r>
        <w:separator/>
      </w:r>
    </w:p>
  </w:endnote>
  <w:endnote w:type="continuationSeparator" w:id="0">
    <w:p w14:paraId="0C70D37C" w14:textId="77777777" w:rsidR="007B353B" w:rsidRDefault="007B353B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68A" w14:textId="77777777" w:rsidR="007B353B" w:rsidRDefault="007B353B" w:rsidP="004D5F2F">
      <w:r>
        <w:separator/>
      </w:r>
    </w:p>
  </w:footnote>
  <w:footnote w:type="continuationSeparator" w:id="0">
    <w:p w14:paraId="65E901E4" w14:textId="77777777" w:rsidR="007B353B" w:rsidRDefault="007B353B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62</cp:revision>
  <dcterms:created xsi:type="dcterms:W3CDTF">2018-04-23T13:27:00Z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