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01.20</w:t>
        <w:tab/>
        <w:t xml:space="preserve">Notifiable incident, non- child protection</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respond swiftly, appropriately and effectively in the case of an incident within the setting. Notifiable incidents in this procedure are those not involving child protection. </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‘notifiable’ incident’ could include:</w:t>
      </w:r>
    </w:p>
    <w:p w:rsidR="00000000" w:rsidDel="00000000" w:rsidP="00000000" w:rsidRDefault="00000000" w:rsidRPr="00000000" w14:paraId="00000005">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fire or suspected arson</w:t>
      </w:r>
    </w:p>
    <w:p w:rsidR="00000000" w:rsidDel="00000000" w:rsidP="00000000" w:rsidRDefault="00000000" w:rsidRPr="00000000" w14:paraId="00000006">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electric or Gas fault</w:t>
      </w:r>
    </w:p>
    <w:p w:rsidR="00000000" w:rsidDel="00000000" w:rsidP="00000000" w:rsidRDefault="00000000" w:rsidRPr="00000000" w14:paraId="00000007">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burst pipe, severe leak or flooding</w:t>
      </w:r>
    </w:p>
    <w:p w:rsidR="00000000" w:rsidDel="00000000" w:rsidP="00000000" w:rsidRDefault="00000000" w:rsidRPr="00000000" w14:paraId="00000008">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severe weather that has caused an incident or damage to property</w:t>
      </w:r>
    </w:p>
    <w:p w:rsidR="00000000" w:rsidDel="00000000" w:rsidP="00000000" w:rsidRDefault="00000000" w:rsidRPr="00000000" w14:paraId="00000009">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break-in with vandalism or theft</w:t>
      </w:r>
    </w:p>
    <w:p w:rsidR="00000000" w:rsidDel="00000000" w:rsidP="00000000" w:rsidRDefault="00000000" w:rsidRPr="00000000" w14:paraId="0000000A">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parent or visitor mugged or assaulted on site or in vicinity on the way to or from the setting</w:t>
      </w:r>
    </w:p>
    <w:p w:rsidR="00000000" w:rsidDel="00000000" w:rsidP="00000000" w:rsidRDefault="00000000" w:rsidRPr="00000000" w14:paraId="0000000B">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outbreak of a notifiable disease</w:t>
      </w:r>
    </w:p>
    <w:p w:rsidR="00000000" w:rsidDel="00000000" w:rsidP="00000000" w:rsidRDefault="00000000" w:rsidRPr="00000000" w14:paraId="0000000C">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or parent threatened/assaulted on the premises by a parent or visitor</w:t>
      </w:r>
    </w:p>
    <w:p w:rsidR="00000000" w:rsidDel="00000000" w:rsidP="00000000" w:rsidRDefault="00000000" w:rsidRPr="00000000" w14:paraId="0000000D">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accidents due to any other faults (that are reportable under RIDDOR)</w:t>
      </w:r>
    </w:p>
    <w:p w:rsidR="00000000" w:rsidDel="00000000" w:rsidP="00000000" w:rsidRDefault="00000000" w:rsidRPr="00000000" w14:paraId="0000000E">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lost child</w:t>
      </w:r>
    </w:p>
    <w:p w:rsidR="00000000" w:rsidDel="00000000" w:rsidP="00000000" w:rsidRDefault="00000000" w:rsidRPr="00000000" w14:paraId="0000000F">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event or information that becomes known, that may have implications for the setting or the wider organisation in the future use</w:t>
      </w:r>
    </w:p>
    <w:p w:rsidR="00000000" w:rsidDel="00000000" w:rsidP="00000000" w:rsidRDefault="00000000" w:rsidRPr="00000000" w14:paraId="000000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health and safety officer:</w:t>
      </w:r>
    </w:p>
    <w:p w:rsidR="00000000" w:rsidDel="00000000" w:rsidP="00000000" w:rsidRDefault="00000000" w:rsidRPr="00000000" w14:paraId="00000011">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all emergency services numbers immediately to hand</w:t>
      </w:r>
    </w:p>
    <w:p w:rsidR="00000000" w:rsidDel="00000000" w:rsidP="00000000" w:rsidRDefault="00000000" w:rsidRPr="00000000" w14:paraId="00000012">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list of contacts for maintenance and repair</w:t>
      </w:r>
    </w:p>
    <w:p w:rsidR="00000000" w:rsidDel="00000000" w:rsidP="00000000" w:rsidRDefault="00000000" w:rsidRPr="00000000" w14:paraId="00000013">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members of staff know what to do in an emergency</w:t>
      </w:r>
    </w:p>
    <w:p w:rsidR="00000000" w:rsidDel="00000000" w:rsidP="00000000" w:rsidRDefault="00000000" w:rsidRPr="00000000" w14:paraId="00000014">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risk assess the situation and decides, with the owners/trustees/directors, if the premises are safe to receive children before any children are arrive or to offer a limited service</w:t>
      </w:r>
    </w:p>
    <w:p w:rsidR="00000000" w:rsidDel="00000000" w:rsidP="00000000" w:rsidRDefault="00000000" w:rsidRPr="00000000" w14:paraId="0000001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evacuation </w:t>
      </w:r>
    </w:p>
    <w:p w:rsidR="00000000" w:rsidDel="00000000" w:rsidP="00000000" w:rsidRDefault="00000000" w:rsidRPr="00000000" w14:paraId="0000001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most instances, children will not be evacuated from the premises unless there is an immediate risk or unless they are advised to do so by the emergency services. </w:t>
      </w:r>
    </w:p>
    <w:p w:rsidR="00000000" w:rsidDel="00000000" w:rsidP="00000000" w:rsidRDefault="00000000" w:rsidRPr="00000000" w14:paraId="00000017">
      <w:pPr>
        <w:numPr>
          <w:ilvl w:val="0"/>
          <w:numId w:val="7"/>
        </w:numPr>
        <w:spacing w:after="120" w:before="120" w:line="360" w:lineRule="auto"/>
        <w:ind w:left="36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There is an emergency evacuation procedure in place which is unique to the setting and based upon risk assessment </w:t>
      </w:r>
      <w:r w:rsidDel="00000000" w:rsidR="00000000" w:rsidRPr="00000000">
        <w:rPr>
          <w:rFonts w:ascii="Arial" w:cs="Arial" w:eastAsia="Arial" w:hAnsi="Arial"/>
          <w:color w:val="000000"/>
          <w:sz w:val="22"/>
          <w:szCs w:val="22"/>
          <w:rtl w:val="0"/>
        </w:rPr>
        <w:t xml:space="preserve">in line with others using the building.</w:t>
      </w:r>
    </w:p>
    <w:p w:rsidR="00000000" w:rsidDel="00000000" w:rsidP="00000000" w:rsidRDefault="00000000" w:rsidRPr="00000000" w14:paraId="00000018">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Emergency evacuation procedures are practised regularly and are reviewed according to risk assessment </w:t>
      </w:r>
      <w:r w:rsidDel="00000000" w:rsidR="00000000" w:rsidRPr="00000000">
        <w:rPr>
          <w:rFonts w:ascii="Arial" w:cs="Arial" w:eastAsia="Arial" w:hAnsi="Arial"/>
          <w:color w:val="000000"/>
          <w:sz w:val="22"/>
          <w:szCs w:val="22"/>
          <w:rtl w:val="0"/>
        </w:rPr>
        <w:t xml:space="preserve">(as above).</w:t>
      </w:r>
      <w:r w:rsidDel="00000000" w:rsidR="00000000" w:rsidRPr="00000000">
        <w:rPr>
          <w:rtl w:val="0"/>
        </w:rPr>
      </w:r>
    </w:p>
    <w:p w:rsidR="00000000" w:rsidDel="00000000" w:rsidP="00000000" w:rsidRDefault="00000000" w:rsidRPr="00000000" w14:paraId="00000019">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evacuate children to a pre-designated area (as per the fire drill), unless advised by the emergency services that the designated area is not suitable at that time.</w:t>
      </w:r>
    </w:p>
    <w:p w:rsidR="00000000" w:rsidDel="00000000" w:rsidP="00000000" w:rsidRDefault="00000000" w:rsidRPr="00000000" w14:paraId="0000001A">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evacuated, nobody enters the premises, until the emergency services say so.</w:t>
      </w:r>
    </w:p>
    <w:p w:rsidR="00000000" w:rsidDel="00000000" w:rsidP="00000000" w:rsidRDefault="00000000" w:rsidRPr="00000000" w14:paraId="0000001B">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 of staff will act upon the advice of the emergency services at all times.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C">
            <w:pPr>
              <w:spacing w:after="120" w:before="120" w:line="360" w:lineRule="auto"/>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01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Closure</w:t>
      </w:r>
    </w:p>
    <w:p w:rsidR="00000000" w:rsidDel="00000000" w:rsidP="00000000" w:rsidRDefault="00000000" w:rsidRPr="00000000" w14:paraId="0000001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circumstances under which the setting may be closed due to an incident include: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owners/directors/trustees make the decision to close – thereby withdrawing the service.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third party makes the decision to close for example: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where the setting is on a school site</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children’s centre (if on a children’s centre site)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emergency services </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makes the decision for their child not to attend. </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makes the decision for their child not to attend due to a critical incident, the child’s fees are due as normal.</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consideration of individual incidences must be done in consultation with the owners/trustees/directors.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Recording and reporting</w:t>
      </w:r>
    </w:p>
    <w:p w:rsidR="00000000" w:rsidDel="00000000" w:rsidP="00000000" w:rsidRDefault="00000000" w:rsidRPr="00000000" w14:paraId="00000028">
      <w:pPr>
        <w:numPr>
          <w:ilvl w:val="0"/>
          <w:numId w:val="1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discovery of the notifiable incident, the member of staff reports to the appropriate emergency service, fire, police, ambulance, if those services are needed.</w:t>
      </w:r>
    </w:p>
    <w:p w:rsidR="00000000" w:rsidDel="00000000" w:rsidP="00000000" w:rsidRDefault="00000000" w:rsidRPr="00000000" w14:paraId="00000029">
      <w:pPr>
        <w:numPr>
          <w:ilvl w:val="0"/>
          <w:numId w:val="1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member of staff ensures that the setting manager and/or deputy are informed (if not on the premises at the time) and that the owners/trustees/directors are informed. </w:t>
      </w:r>
    </w:p>
    <w:p w:rsidR="00000000" w:rsidDel="00000000" w:rsidP="00000000" w:rsidRDefault="00000000" w:rsidRPr="00000000" w14:paraId="0000002A">
      <w:pPr>
        <w:numPr>
          <w:ilvl w:val="0"/>
          <w:numId w:val="1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completes and sends an incident record to the owners/trustees/directors, who, according to the severity of the incident notifies Ofsted or RIDDOR. </w:t>
      </w:r>
    </w:p>
    <w:p w:rsidR="00000000" w:rsidDel="00000000" w:rsidP="00000000" w:rsidRDefault="00000000" w:rsidRPr="00000000" w14:paraId="0000002B">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incident indicates that a crime may have been committed, all staff witness to the incident should make a written statement.</w:t>
      </w:r>
    </w:p>
    <w:p w:rsidR="00000000" w:rsidDel="00000000" w:rsidP="00000000" w:rsidRDefault="00000000" w:rsidRPr="00000000" w14:paraId="0000002C">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do not discuss the incident with the press.</w:t>
      </w:r>
    </w:p>
    <w:p w:rsidR="00000000" w:rsidDel="00000000" w:rsidP="00000000" w:rsidRDefault="00000000" w:rsidRPr="00000000" w14:paraId="0000002D">
      <w:pP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RIDDOR reportable events include:</w:t>
      </w:r>
    </w:p>
    <w:p w:rsidR="00000000" w:rsidDel="00000000" w:rsidP="00000000" w:rsidRDefault="00000000" w:rsidRPr="00000000" w14:paraId="0000002E">
      <w:pPr>
        <w:numPr>
          <w:ilvl w:val="0"/>
          <w:numId w:val="15"/>
        </w:numPr>
        <w:spacing w:after="120" w:before="120" w:line="36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Specified injuries at work, as detailed at </w:t>
      </w:r>
      <w:hyperlink r:id="rId7">
        <w:r w:rsidDel="00000000" w:rsidR="00000000" w:rsidRPr="00000000">
          <w:rPr>
            <w:rFonts w:ascii="Arial" w:cs="Arial" w:eastAsia="Arial" w:hAnsi="Arial"/>
            <w:color w:val="0000ff"/>
            <w:sz w:val="22"/>
            <w:szCs w:val="22"/>
            <w:u w:val="single"/>
            <w:rtl w:val="0"/>
          </w:rPr>
          <w:t xml:space="preserve">www.hse.gov.uk/pubns/indg453.pdf</w:t>
        </w:r>
      </w:hyperlink>
      <w:r w:rsidDel="00000000" w:rsidR="00000000" w:rsidRPr="00000000">
        <w:rPr>
          <w:rtl w:val="0"/>
        </w:rPr>
      </w:r>
    </w:p>
    <w:p w:rsidR="00000000" w:rsidDel="00000000" w:rsidP="00000000" w:rsidRDefault="00000000" w:rsidRPr="00000000" w14:paraId="0000002F">
      <w:pPr>
        <w:numPr>
          <w:ilvl w:val="0"/>
          <w:numId w:val="15"/>
        </w:numPr>
        <w:spacing w:after="120" w:before="120" w:line="36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Fatal accidents to staff, children and visitors (parents).</w:t>
      </w:r>
    </w:p>
    <w:p w:rsidR="00000000" w:rsidDel="00000000" w:rsidP="00000000" w:rsidRDefault="00000000" w:rsidRPr="00000000" w14:paraId="00000030">
      <w:pPr>
        <w:numPr>
          <w:ilvl w:val="0"/>
          <w:numId w:val="15"/>
        </w:numPr>
        <w:spacing w:after="120" w:before="120" w:line="360" w:lineRule="auto"/>
        <w:ind w:left="36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Accidents resulting in the incapacitation of staff for more than seven days.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Injuries to members of the public, including parents’ and children, where they are taken to hospital.</w:t>
      </w:r>
    </w:p>
    <w:p w:rsidR="00000000" w:rsidDel="00000000" w:rsidP="00000000" w:rsidRDefault="00000000" w:rsidRPr="00000000" w14:paraId="000000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Dangerous ‘specified’ occurrences, where no-one is injured but they could have been. (these are usually industrial incidents).</w:t>
      </w:r>
    </w:p>
    <w:p w:rsidR="00000000" w:rsidDel="00000000" w:rsidP="00000000" w:rsidRDefault="00000000" w:rsidRPr="00000000" w14:paraId="0000003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may include: </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staff injures back at work through lifting and is off for two weeks</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slips on a wet floor near the water tray and is taken to hospital</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falls from a climbing frame and is taken to hospital</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ceiling collapses</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outbreak of Legionella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informs the owners/trustees/directors and completes an accident and/or incident record; witness statements are taken as previously detailed.</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incident is RIDDOR reportable, the setting manager telephones HSE Contact Centre on 0345 300 9923 or reports online at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www.hse.gov.uk/riddor/report.htm</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RIDDOR Reportable events require reporting to RIDDOR within 15 days of the event occurring.</w:t>
      </w:r>
    </w:p>
    <w:p w:rsidR="00000000" w:rsidDel="00000000" w:rsidP="00000000" w:rsidRDefault="00000000" w:rsidRPr="00000000" w14:paraId="0000003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local authority investigates all reported injuries, diseases or dangerous occurrences. They will decide if there has been a breach in health and safety regulations and will decide what measures will be taken. </w:t>
      </w:r>
    </w:p>
    <w:p w:rsidR="00000000" w:rsidDel="00000000" w:rsidP="00000000" w:rsidRDefault="00000000" w:rsidRPr="00000000" w14:paraId="0000003D">
      <w:pP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owners/trustees/directors review how the situation was managed, as above, to ensure that investigations were rigorous and that policies and procedures were followed.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insurance claim is likely:</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such as fire, theft or flood are notified to the insurance provider immediately</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does not admit liability</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broken or faulty equipment is involved, it must not be repaired, destroyed or disposed of, in case it is needed during the investigation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communication from a solicitor is received on behalf of the injured party, this is sent directly to the insurance provider; the setting manager will then write to the solicitor to confirm that the letter has been passed on</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incident is not discussed with any outside persons, or other parents, no matter what questions they may ask about their own child’s safety in relation to the incident, as it is regarded as confidential under the Data Protection Act.</w:t>
      </w:r>
    </w:p>
    <w:sectPr>
      <w:footerReference r:id="rId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2024</w:t>
    </w:r>
    <w:r w:rsidDel="00000000" w:rsidR="00000000" w:rsidRPr="00000000">
      <w:rPr>
        <w:rFonts w:ascii="Arial" w:cs="Arial" w:eastAsia="Arial" w:hAnsi="Arial"/>
        <w:sz w:val="20"/>
        <w:szCs w:val="20"/>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ο"/>
      <w:lvlJc w:val="left"/>
      <w:pPr>
        <w:ind w:left="1080" w:hanging="360"/>
      </w:pPr>
      <w:rPr>
        <w:rFonts w:ascii="Noto Sans Symbols" w:cs="Noto Sans Symbols" w:eastAsia="Noto Sans Symbols" w:hAnsi="Noto Sans Symbols"/>
      </w:rPr>
    </w:lvl>
    <w:lvl w:ilvl="2">
      <w:start w:val="2"/>
      <w:numFmt w:val="decimal"/>
      <w:lvlText w:val="%3"/>
      <w:lvlJc w:val="left"/>
      <w:pPr>
        <w:ind w:left="1980" w:hanging="360"/>
      </w:pPr>
      <w:rPr>
        <w:b w:val="1"/>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Revision">
    <w:name w:val="Revision"/>
    <w:hidden w:val="1"/>
    <w:uiPriority w:val="99"/>
    <w:semiHidden w:val="1"/>
    <w:rsid w:val="00373B23"/>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se.gov.uk/pubns/indg453.pdf" TargetMode="External"/><Relationship Id="rId8" Type="http://schemas.openxmlformats.org/officeDocument/2006/relationships/hyperlink" Target="http://www.hse.gov.uk/riddor/repor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AptYD7mxiprnXff3eA14RbJjMQ==">CgMxLjA4AHIhMUtnV2JJZTZNM3VzZDVtT25wT1FVRkZUTmdXT0RrYjdw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2024-01-31T10:20:00Z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0x01010026154AB0DCA62F4EB9055124D36FD99F</vt:lpwstr>
  </property>
  <property fmtid="{D5CDD505-2E9C-101B-9397-08002B2CF9AE}" pid="3" name="MediaServiceImageTags">
    <vt:lpwstr/>
  </property>
  <property fmtid="{D5CDD505-2E9C-101B-9397-08002B2CF9AE}" pid="4" name="Order">
    <vt:r8>1.076952E8</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